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C45B3B">
              <w:rPr>
                <w:rFonts w:ascii="華康粗黑體" w:eastAsia="華康粗黑體" w:hAnsi="華康粗黑體" w:hint="eastAsia"/>
              </w:rPr>
              <w:t>5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67640">
              <w:rPr>
                <w:rFonts w:ascii="華康粗黑體" w:eastAsia="華康粗黑體" w:hAnsi="華康粗黑體" w:hint="eastAsia"/>
              </w:rPr>
              <w:t>1</w:t>
            </w:r>
            <w:r w:rsidR="00C45B3B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767640">
              <w:rPr>
                <w:rFonts w:ascii="華康粗黑體" w:eastAsia="華康粗黑體" w:hAnsi="華康粗黑體" w:hint="eastAsia"/>
              </w:rPr>
              <w:t>1</w:t>
            </w:r>
            <w:r w:rsidR="00C45B3B">
              <w:rPr>
                <w:rFonts w:ascii="華康粗黑體" w:eastAsia="華康粗黑體" w:hAnsi="華康粗黑體" w:hint="eastAsia"/>
              </w:rPr>
              <w:t>7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 w:rsidR="00767640">
              <w:rPr>
                <w:rFonts w:ascii="華康粗黑體" w:eastAsia="華康粗黑體" w:hAnsi="華康粗黑體" w:hint="eastAsia"/>
                <w:sz w:val="20"/>
                <w:szCs w:val="20"/>
              </w:rPr>
              <w:t>期一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767640">
              <w:rPr>
                <w:rFonts w:ascii="華康粗黑體" w:eastAsia="華康粗黑體" w:hAnsi="華康粗黑體" w:hint="eastAsia"/>
                <w:sz w:val="20"/>
                <w:szCs w:val="20"/>
              </w:rPr>
              <w:t>三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C45B3B">
              <w:rPr>
                <w:rFonts w:ascii="華康粗黑體" w:eastAsia="華康粗黑體" w:hAnsi="華康粗黑體" w:hint="eastAsia"/>
              </w:rPr>
              <w:t>05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C45B3B">
              <w:rPr>
                <w:rFonts w:ascii="華康粗黑體" w:eastAsia="華康粗黑體" w:hAnsi="華康粗黑體" w:hint="eastAsia"/>
              </w:rPr>
              <w:t>19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537192">
              <w:rPr>
                <w:rFonts w:ascii="華康粗黑體" w:eastAsia="華康粗黑體" w:hAnsi="華康粗黑體" w:hint="eastAsia"/>
              </w:rPr>
              <w:t>五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F711DB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陳幹事、丁秘書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C45B3B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C45B3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C45B3B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C45B3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C45B3B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C45B3B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C45B3B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C45B3B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C45B3B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C45B3B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C45B3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C45B3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C45B3B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9F8064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21B7-D4FC-42EF-9A99-FADC6133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2023-03-28T01:36:00Z</dcterms:created>
  <dcterms:modified xsi:type="dcterms:W3CDTF">2023-03-28T01:36:00Z</dcterms:modified>
</cp:coreProperties>
</file>